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C96C9" w14:textId="77777777" w:rsidR="00037C84" w:rsidRDefault="00037C84" w:rsidP="00195BC6">
      <w:pPr>
        <w:spacing w:after="0" w:line="240" w:lineRule="auto"/>
      </w:pPr>
    </w:p>
    <w:p w14:paraId="239169E6" w14:textId="77777777" w:rsidR="009269B5" w:rsidRDefault="009269B5" w:rsidP="00195BC6">
      <w:pPr>
        <w:spacing w:after="0" w:line="240" w:lineRule="auto"/>
        <w:jc w:val="center"/>
        <w:rPr>
          <w:b/>
          <w:sz w:val="20"/>
        </w:rPr>
      </w:pPr>
    </w:p>
    <w:p w14:paraId="1C985DF8" w14:textId="553A3189" w:rsidR="008D5FE3" w:rsidRPr="00D60C2D" w:rsidRDefault="00D60C2D" w:rsidP="00195BC6">
      <w:pPr>
        <w:spacing w:after="0" w:line="240" w:lineRule="auto"/>
        <w:jc w:val="center"/>
        <w:rPr>
          <w:b/>
          <w:sz w:val="24"/>
          <w:szCs w:val="24"/>
        </w:rPr>
      </w:pPr>
      <w:r w:rsidRPr="00D60C2D">
        <w:rPr>
          <w:b/>
          <w:sz w:val="24"/>
          <w:szCs w:val="24"/>
        </w:rPr>
        <w:t>ΠΡΟΛΗΨΗ ΤΩΝ ΕΡΓΑΤΙΚΩΝ ΑΤΥΧΗΜΑΤΩΝ</w:t>
      </w:r>
    </w:p>
    <w:p w14:paraId="494EC37D" w14:textId="77777777" w:rsidR="00D60C2D" w:rsidRPr="00D60C2D" w:rsidRDefault="00D60C2D" w:rsidP="00195BC6">
      <w:pPr>
        <w:spacing w:after="0" w:line="240" w:lineRule="auto"/>
        <w:jc w:val="center"/>
        <w:rPr>
          <w:b/>
          <w:szCs w:val="22"/>
        </w:rPr>
      </w:pPr>
    </w:p>
    <w:p w14:paraId="1C59BC87" w14:textId="77777777" w:rsidR="008D5FE3" w:rsidRPr="00D60C2D" w:rsidRDefault="008D5FE3" w:rsidP="00195BC6">
      <w:pPr>
        <w:spacing w:after="0" w:line="240" w:lineRule="auto"/>
        <w:jc w:val="center"/>
        <w:rPr>
          <w:b/>
          <w:szCs w:val="22"/>
        </w:rPr>
      </w:pPr>
      <w:r w:rsidRPr="00D60C2D">
        <w:rPr>
          <w:b/>
          <w:szCs w:val="22"/>
        </w:rPr>
        <w:t xml:space="preserve">Σύνηθες είδος ατυχήματος — </w:t>
      </w:r>
      <w:r w:rsidRPr="00D60C2D">
        <w:rPr>
          <w:b/>
          <w:szCs w:val="22"/>
          <w:shd w:val="clear" w:color="auto" w:fill="FFFFFF"/>
        </w:rPr>
        <w:t>Ολισθήσεις, παραπατήματα και πτώσεις στο ίδιο επίπεδο</w:t>
      </w:r>
    </w:p>
    <w:p w14:paraId="39A23AD2" w14:textId="77777777" w:rsidR="008D5FE3" w:rsidRPr="00A53223" w:rsidRDefault="008D5FE3" w:rsidP="00195BC6">
      <w:pPr>
        <w:spacing w:after="0" w:line="240" w:lineRule="auto"/>
        <w:rPr>
          <w:sz w:val="20"/>
        </w:rPr>
      </w:pPr>
    </w:p>
    <w:p w14:paraId="1FB75179" w14:textId="77777777" w:rsidR="00820CF9" w:rsidRDefault="00820CF9" w:rsidP="00195BC6">
      <w:pPr>
        <w:spacing w:after="0" w:line="240" w:lineRule="auto"/>
        <w:jc w:val="both"/>
        <w:rPr>
          <w:b/>
          <w:color w:val="4472C4" w:themeColor="accent5"/>
          <w:sz w:val="20"/>
        </w:rPr>
      </w:pPr>
    </w:p>
    <w:p w14:paraId="56BD57DC" w14:textId="77777777" w:rsidR="008D5FE3" w:rsidRPr="00A53223" w:rsidRDefault="00A53223" w:rsidP="00195BC6">
      <w:pPr>
        <w:spacing w:after="0" w:line="240" w:lineRule="auto"/>
        <w:jc w:val="both"/>
        <w:rPr>
          <w:b/>
          <w:color w:val="4472C4" w:themeColor="accent5"/>
          <w:sz w:val="20"/>
        </w:rPr>
      </w:pPr>
      <w:r>
        <w:rPr>
          <w:b/>
          <w:color w:val="4472C4" w:themeColor="accent5"/>
          <w:sz w:val="20"/>
          <w:shd w:val="clear" w:color="auto" w:fill="FFFFFF"/>
        </w:rPr>
        <w:t>Ολισθήσεις, παραπατήματα και πτώσεις στο ίδιο επίπεδο</w:t>
      </w:r>
      <w:r>
        <w:rPr>
          <w:b/>
          <w:color w:val="4472C4" w:themeColor="accent5"/>
          <w:sz w:val="20"/>
        </w:rPr>
        <w:t>, γιατί;</w:t>
      </w:r>
    </w:p>
    <w:p w14:paraId="38E08902" w14:textId="77777777" w:rsidR="00A53223" w:rsidRDefault="00A53223" w:rsidP="00A53223">
      <w:pPr>
        <w:jc w:val="both"/>
        <w:rPr>
          <w:sz w:val="20"/>
        </w:rPr>
      </w:pPr>
    </w:p>
    <w:p w14:paraId="18F4F5C2" w14:textId="77777777" w:rsidR="00A53223" w:rsidRPr="00A53223" w:rsidRDefault="00A53223" w:rsidP="00A53223">
      <w:pPr>
        <w:jc w:val="both"/>
        <w:rPr>
          <w:sz w:val="20"/>
        </w:rPr>
      </w:pPr>
      <w:r>
        <w:rPr>
          <w:sz w:val="20"/>
        </w:rPr>
        <w:t xml:space="preserve">Οι πτώσεις στο ίδιο επίπεδο, δηλαδή οι ολισθήσεις και τα παραπατήματα, μπορούν να συμβούν στον καθένα μας οπουδήποτε, ανεξάρτητα από την ηλικία, το επάγγελμα και την κατάσταση της υγείας του, και αντιπροσωπεύουν υψηλό ποσοστό των εργατικών ατυχημάτων, ιδιαίτερα των σοβαρών. </w:t>
      </w:r>
    </w:p>
    <w:p w14:paraId="0884D9C3" w14:textId="77777777" w:rsidR="00195BC6" w:rsidRPr="00A53223" w:rsidRDefault="00A53223" w:rsidP="00A53223">
      <w:pPr>
        <w:spacing w:after="0" w:line="240" w:lineRule="auto"/>
        <w:jc w:val="both"/>
        <w:rPr>
          <w:sz w:val="20"/>
        </w:rPr>
      </w:pPr>
      <w:r>
        <w:rPr>
          <w:sz w:val="20"/>
        </w:rPr>
        <w:t xml:space="preserve">Οι </w:t>
      </w:r>
      <w:r>
        <w:rPr>
          <w:color w:val="4472C4" w:themeColor="accent5"/>
          <w:sz w:val="20"/>
        </w:rPr>
        <w:t>ολισθήσεις</w:t>
      </w:r>
      <w:r>
        <w:rPr>
          <w:sz w:val="20"/>
        </w:rPr>
        <w:t xml:space="preserve"> συμβαίνουν όταν υπάρχει πολύ μικρή τριβή ή έλξη μεταξύ των υποδημάτων και της επιφάνειας βάδισης. Η πρόσφυση μεταξύ του δαπέδου και του ατόμου μειώνεται ξαφνικά και τα πόδια αρχίζουν να κινούνται ταχύτερα από το άνω μέρος του σώματος. Η συνηθέστερη αιτία ολίσθησης είναι το υγρό ή ολισθηρό οδόστρωμα. Τα </w:t>
      </w:r>
      <w:r>
        <w:rPr>
          <w:b/>
          <w:color w:val="4472C4" w:themeColor="accent5"/>
          <w:sz w:val="20"/>
        </w:rPr>
        <w:t>παραπατήματα</w:t>
      </w:r>
      <w:r>
        <w:rPr>
          <w:sz w:val="20"/>
        </w:rPr>
        <w:t xml:space="preserve"> συμβαίνουν όταν το πόδι προσκρούει σε εμπόδιο ή έρχεται σε επαφή με εξαιρετικά ανάγλυφη επιφάνεια, με αποτέλεσμα την απώλεια της ισορροπίας και την πιθανή πτώση.  Ένα πόδι έχει παγιδευτεί κατά τη διάρκεια της κίνησης, αλλά το άνω μέρος του σώματος εξακολουθεί την προσπάθεια να κινηθεί προς τα εμπρός λόγω της δύναμης της αδράνειας.</w:t>
      </w:r>
    </w:p>
    <w:p w14:paraId="6BA2CFD9" w14:textId="77777777" w:rsidR="002313FA" w:rsidRPr="00A53223" w:rsidRDefault="002313FA" w:rsidP="00195BC6">
      <w:pPr>
        <w:spacing w:after="0" w:line="240" w:lineRule="auto"/>
        <w:jc w:val="both"/>
        <w:rPr>
          <w:sz w:val="20"/>
        </w:rPr>
      </w:pPr>
    </w:p>
    <w:p w14:paraId="600CB902" w14:textId="4A07C8CB" w:rsidR="003873DC" w:rsidRPr="003873DC" w:rsidRDefault="003873DC" w:rsidP="003873DC">
      <w:pPr>
        <w:spacing w:after="0" w:line="240" w:lineRule="auto"/>
        <w:jc w:val="both"/>
        <w:rPr>
          <w:sz w:val="20"/>
        </w:rPr>
      </w:pPr>
      <w:r>
        <w:rPr>
          <w:sz w:val="20"/>
        </w:rPr>
        <w:t xml:space="preserve">Οι κύριοι παράγοντες κινδύνου είναι, μεταξύ άλλων, το ανώμαλο και/ή ασταθές δάπεδο, το επικλινές έδαφος, η παρουσία εμποδίων, η έλλειψη οργάνωσης / ακαταστασία εργαλείων χειρός, </w:t>
      </w:r>
      <w:r w:rsidR="00D60C2D">
        <w:rPr>
          <w:sz w:val="20"/>
        </w:rPr>
        <w:t>καλωδίων επέκτασης (</w:t>
      </w:r>
      <w:proofErr w:type="spellStart"/>
      <w:r w:rsidR="00D60C2D">
        <w:rPr>
          <w:sz w:val="20"/>
          <w:lang w:val="en-US"/>
        </w:rPr>
        <w:t>extention</w:t>
      </w:r>
      <w:proofErr w:type="spellEnd"/>
      <w:r w:rsidR="00D60C2D" w:rsidRPr="00D60C2D">
        <w:rPr>
          <w:sz w:val="20"/>
        </w:rPr>
        <w:t>)</w:t>
      </w:r>
      <w:r>
        <w:rPr>
          <w:sz w:val="20"/>
        </w:rPr>
        <w:t xml:space="preserve"> και εξοπλισμού εργασίας, η απόκρυψη των κινδύνων από ζιζάνια και η ανάγκη μετακίνησης φορτίων.</w:t>
      </w:r>
    </w:p>
    <w:p w14:paraId="63226142" w14:textId="77777777" w:rsidR="003873DC" w:rsidRPr="003873DC" w:rsidRDefault="003873DC" w:rsidP="003873DC">
      <w:pPr>
        <w:spacing w:after="0" w:line="240" w:lineRule="auto"/>
        <w:jc w:val="both"/>
        <w:rPr>
          <w:sz w:val="20"/>
        </w:rPr>
      </w:pPr>
    </w:p>
    <w:p w14:paraId="38FA1185" w14:textId="77777777" w:rsidR="002313FA" w:rsidRPr="003873DC" w:rsidRDefault="003873DC" w:rsidP="003873DC">
      <w:pPr>
        <w:spacing w:after="0" w:line="240" w:lineRule="auto"/>
        <w:jc w:val="both"/>
        <w:rPr>
          <w:sz w:val="20"/>
        </w:rPr>
      </w:pPr>
      <w:r>
        <w:rPr>
          <w:sz w:val="20"/>
        </w:rPr>
        <w:t>Ατυχήματα που προκαλούνται από πτώση στο ίδιο επίπεδο συμβαίνουν ιδίως κατά τις εργασίες που εκτελούνται στους τομείς της βιομηχανίας, των κατασκευών, του εμπορίου και της γεωργίας.</w:t>
      </w:r>
    </w:p>
    <w:p w14:paraId="6C7EEE69" w14:textId="77777777" w:rsidR="00C85B02" w:rsidRDefault="00C85B02" w:rsidP="00195BC6">
      <w:pPr>
        <w:spacing w:after="0" w:line="240" w:lineRule="auto"/>
        <w:jc w:val="both"/>
        <w:rPr>
          <w:b/>
          <w:color w:val="4472C4" w:themeColor="accent5"/>
          <w:sz w:val="20"/>
        </w:rPr>
      </w:pPr>
    </w:p>
    <w:p w14:paraId="5C8D1CD7" w14:textId="77777777" w:rsidR="00C85B02" w:rsidRDefault="00C85B02" w:rsidP="00195BC6">
      <w:pPr>
        <w:spacing w:after="0" w:line="240" w:lineRule="auto"/>
        <w:jc w:val="both"/>
        <w:rPr>
          <w:b/>
          <w:color w:val="4472C4" w:themeColor="accent5"/>
          <w:sz w:val="20"/>
        </w:rPr>
      </w:pPr>
    </w:p>
    <w:p w14:paraId="2C98571F" w14:textId="5E33E804" w:rsidR="008D5FE3" w:rsidRPr="004A6231" w:rsidRDefault="008D5FE3" w:rsidP="00195BC6">
      <w:pPr>
        <w:spacing w:after="0" w:line="240" w:lineRule="auto"/>
        <w:jc w:val="both"/>
        <w:rPr>
          <w:b/>
          <w:color w:val="4472C4" w:themeColor="accent5"/>
          <w:sz w:val="20"/>
        </w:rPr>
      </w:pPr>
      <w:r>
        <w:rPr>
          <w:b/>
          <w:color w:val="4472C4" w:themeColor="accent5"/>
          <w:sz w:val="20"/>
        </w:rPr>
        <w:t xml:space="preserve">Σχεδιασμός της </w:t>
      </w:r>
      <w:r w:rsidR="00D60C2D">
        <w:rPr>
          <w:b/>
          <w:color w:val="4472C4" w:themeColor="accent5"/>
          <w:sz w:val="20"/>
        </w:rPr>
        <w:t>Ασφάλειας και Υγείας στην Εργασία (</w:t>
      </w:r>
      <w:r>
        <w:rPr>
          <w:b/>
          <w:color w:val="4472C4" w:themeColor="accent5"/>
          <w:sz w:val="20"/>
        </w:rPr>
        <w:t>ΑΥΕ</w:t>
      </w:r>
      <w:r w:rsidR="00D60C2D">
        <w:rPr>
          <w:b/>
          <w:color w:val="4472C4" w:themeColor="accent5"/>
          <w:sz w:val="20"/>
        </w:rPr>
        <w:t>)</w:t>
      </w:r>
    </w:p>
    <w:p w14:paraId="6B531321" w14:textId="77777777" w:rsidR="00195BC6" w:rsidRPr="004A6231" w:rsidRDefault="00195BC6" w:rsidP="00195BC6">
      <w:pPr>
        <w:spacing w:after="0" w:line="240" w:lineRule="auto"/>
        <w:jc w:val="both"/>
        <w:rPr>
          <w:sz w:val="20"/>
        </w:rPr>
      </w:pPr>
    </w:p>
    <w:p w14:paraId="6D11D524" w14:textId="3A969041" w:rsidR="00C85B02" w:rsidRPr="00C85B02" w:rsidRDefault="00C85B02" w:rsidP="00C85B02">
      <w:pPr>
        <w:spacing w:after="0" w:line="240" w:lineRule="auto"/>
        <w:jc w:val="both"/>
        <w:rPr>
          <w:sz w:val="20"/>
        </w:rPr>
      </w:pPr>
      <w:r>
        <w:rPr>
          <w:sz w:val="20"/>
        </w:rPr>
        <w:t>Κατά τη διαχείριση της ΑΥΕ και την εκτίμηση των κινδύνων στον χώρο εργασίας, θα πρέπει να λαμβάνονται υπόψη όλες αυτές οι πτυχές και να καλύπτονται όλοι οι εργαζόμενοι που συμμετέχουν στη διαδικασία παραγωγής.</w:t>
      </w:r>
    </w:p>
    <w:p w14:paraId="602AC588" w14:textId="77777777" w:rsidR="00FC10C5" w:rsidRDefault="00FC10C5" w:rsidP="00C85B02">
      <w:pPr>
        <w:spacing w:after="0" w:line="240" w:lineRule="auto"/>
        <w:jc w:val="both"/>
        <w:rPr>
          <w:sz w:val="20"/>
        </w:rPr>
      </w:pPr>
    </w:p>
    <w:p w14:paraId="63E8CB32" w14:textId="77777777" w:rsidR="008254EF" w:rsidRDefault="00C85B02" w:rsidP="00C85B02">
      <w:pPr>
        <w:spacing w:after="0" w:line="240" w:lineRule="auto"/>
        <w:jc w:val="both"/>
        <w:rPr>
          <w:sz w:val="20"/>
        </w:rPr>
      </w:pPr>
      <w:r>
        <w:rPr>
          <w:sz w:val="20"/>
        </w:rPr>
        <w:t>Για την εκτίμηση των κινδύνων θα πρέπει να λαμβάνονται υπόψη οι συνθήκες υπό τις οποίες οι εργαζόμενοι εκτελούν τα καθήκοντά τους.</w:t>
      </w:r>
    </w:p>
    <w:p w14:paraId="74C8205E" w14:textId="77777777" w:rsidR="00C85B02" w:rsidRDefault="00C85B02" w:rsidP="00195BC6">
      <w:pPr>
        <w:spacing w:after="0" w:line="240" w:lineRule="auto"/>
        <w:jc w:val="both"/>
        <w:rPr>
          <w:sz w:val="20"/>
        </w:rPr>
      </w:pPr>
    </w:p>
    <w:p w14:paraId="3C8EA2DF" w14:textId="77777777" w:rsidR="00C85B02" w:rsidRDefault="00FC10C5" w:rsidP="00195BC6">
      <w:pPr>
        <w:spacing w:after="0" w:line="240" w:lineRule="auto"/>
        <w:jc w:val="both"/>
        <w:rPr>
          <w:sz w:val="20"/>
        </w:rPr>
      </w:pPr>
      <w:r>
        <w:rPr>
          <w:sz w:val="20"/>
        </w:rPr>
        <w:t>Η εκτίμηση των κινδύνων:</w:t>
      </w:r>
    </w:p>
    <w:p w14:paraId="470B0E11" w14:textId="77777777" w:rsidR="00FC10C5" w:rsidRPr="00FC10C5" w:rsidRDefault="00FC10C5" w:rsidP="00FC10C5">
      <w:pPr>
        <w:spacing w:after="0" w:line="240" w:lineRule="auto"/>
        <w:jc w:val="both"/>
        <w:rPr>
          <w:sz w:val="20"/>
        </w:rPr>
      </w:pPr>
    </w:p>
    <w:p w14:paraId="0E277FD7" w14:textId="77777777" w:rsidR="00FC10C5" w:rsidRDefault="00FC10C5" w:rsidP="00FC10C5">
      <w:pPr>
        <w:spacing w:after="0" w:line="240" w:lineRule="auto"/>
        <w:jc w:val="both"/>
        <w:rPr>
          <w:sz w:val="20"/>
        </w:rPr>
      </w:pPr>
      <w:r>
        <w:rPr>
          <w:sz w:val="20"/>
        </w:rPr>
        <w:t xml:space="preserve">— Πρέπει να εξετάζει τους κινδύνους στους οποίους εκτίθενται οι εργαζόμενοι καθ’ όλη τη διάρκεια της διαδικασίας παραγωγής. Για παράδειγμα, τις ανωμαλίες στο έδαφος λόγω της διέλευσης μηχανημάτων και εξοπλισμού εργασίας, τις κλίσεις, τις πέτρες, την παρουσία ζιζανίων που αποκρύπτουν τα εν λόγω εμπόδια, τους </w:t>
      </w:r>
      <w:proofErr w:type="spellStart"/>
      <w:r>
        <w:rPr>
          <w:sz w:val="20"/>
        </w:rPr>
        <w:t>περιέκτες</w:t>
      </w:r>
      <w:proofErr w:type="spellEnd"/>
      <w:r>
        <w:rPr>
          <w:sz w:val="20"/>
        </w:rPr>
        <w:t xml:space="preserve"> συγκομιδής (καλάθια, κιβώτια, παλέτες), τη χειροκίνητη ή μηχανική μετακίνηση των </w:t>
      </w:r>
      <w:proofErr w:type="spellStart"/>
      <w:r>
        <w:rPr>
          <w:sz w:val="20"/>
        </w:rPr>
        <w:t>περιεκτών</w:t>
      </w:r>
      <w:proofErr w:type="spellEnd"/>
      <w:r>
        <w:rPr>
          <w:sz w:val="20"/>
        </w:rPr>
        <w:t xml:space="preserve"> αυτών, τις φορτώσεις και εκφορτώσεις και τα μεταφορικά μέσα, μεταξύ άλλων.</w:t>
      </w:r>
    </w:p>
    <w:p w14:paraId="1C601088" w14:textId="77777777" w:rsidR="00BB66F8" w:rsidRDefault="00BB66F8" w:rsidP="00FC10C5">
      <w:pPr>
        <w:spacing w:after="0" w:line="240" w:lineRule="auto"/>
        <w:jc w:val="both"/>
        <w:rPr>
          <w:sz w:val="20"/>
        </w:rPr>
      </w:pPr>
    </w:p>
    <w:p w14:paraId="2C66F871" w14:textId="77777777" w:rsidR="00FC10C5" w:rsidRPr="00FC10C5" w:rsidRDefault="00FC10C5" w:rsidP="00FC10C5">
      <w:pPr>
        <w:spacing w:after="0" w:line="240" w:lineRule="auto"/>
        <w:jc w:val="both"/>
        <w:rPr>
          <w:sz w:val="20"/>
        </w:rPr>
      </w:pPr>
      <w:r>
        <w:rPr>
          <w:sz w:val="20"/>
        </w:rPr>
        <w:lastRenderedPageBreak/>
        <w:t>— Θα πρέπει να προσδιορίζει τα εφαρμοζόμενα μέτρα προστασίας και πρόληψης που συμβάλλουν στην εξάλειψη ή τη μείωση του κινδύνου πτώσης στο ίδιο επίπεδο και των οποίων η αποτελεσματικότητα μπορεί να μετρηθεί σε μεταγενέστερη επανεκτίμηση.</w:t>
      </w:r>
    </w:p>
    <w:p w14:paraId="45A7AC83" w14:textId="77777777" w:rsidR="00AB4435" w:rsidRDefault="00AB4435" w:rsidP="00195BC6">
      <w:pPr>
        <w:spacing w:after="0" w:line="240" w:lineRule="auto"/>
        <w:jc w:val="both"/>
        <w:rPr>
          <w:b/>
          <w:color w:val="4472C4" w:themeColor="accent5"/>
          <w:sz w:val="20"/>
        </w:rPr>
      </w:pPr>
    </w:p>
    <w:p w14:paraId="4C9208D0" w14:textId="77777777" w:rsidR="008D5FE3" w:rsidRDefault="008D5FE3" w:rsidP="00195BC6">
      <w:pPr>
        <w:spacing w:after="0" w:line="240" w:lineRule="auto"/>
        <w:jc w:val="both"/>
        <w:rPr>
          <w:b/>
          <w:color w:val="4472C4" w:themeColor="accent5"/>
          <w:sz w:val="20"/>
        </w:rPr>
      </w:pPr>
      <w:r>
        <w:rPr>
          <w:b/>
          <w:color w:val="4472C4" w:themeColor="accent5"/>
          <w:sz w:val="20"/>
        </w:rPr>
        <w:t>Περιγραφή σοβαρού ατυχήματος — πτώση στο ίδιο επίπεδο</w:t>
      </w:r>
    </w:p>
    <w:p w14:paraId="1968EAA2" w14:textId="77777777" w:rsidR="00195BC6" w:rsidRPr="0090026C" w:rsidRDefault="00195BC6" w:rsidP="00195BC6">
      <w:pPr>
        <w:spacing w:after="0" w:line="240" w:lineRule="auto"/>
        <w:jc w:val="both"/>
        <w:rPr>
          <w:sz w:val="12"/>
        </w:rPr>
      </w:pPr>
    </w:p>
    <w:p w14:paraId="68FDFEDF" w14:textId="067A9A96" w:rsidR="00BB66F8" w:rsidRPr="00D60C2D" w:rsidRDefault="00BB66F8" w:rsidP="009B1FEB">
      <w:pPr>
        <w:pStyle w:val="ListParagraph"/>
        <w:numPr>
          <w:ilvl w:val="0"/>
          <w:numId w:val="12"/>
        </w:numPr>
        <w:spacing w:after="0" w:line="240" w:lineRule="auto"/>
        <w:jc w:val="both"/>
        <w:rPr>
          <w:sz w:val="20"/>
        </w:rPr>
      </w:pPr>
      <w:r w:rsidRPr="00D60C2D">
        <w:rPr>
          <w:sz w:val="20"/>
        </w:rPr>
        <w:t>Ο εργαζόμενος που υπέστη το ατύχημα απασχολ</w:t>
      </w:r>
      <w:r w:rsidR="000D6272" w:rsidRPr="00D60C2D">
        <w:rPr>
          <w:sz w:val="20"/>
        </w:rPr>
        <w:t>είτο</w:t>
      </w:r>
      <w:r w:rsidRPr="00D60C2D">
        <w:rPr>
          <w:sz w:val="20"/>
        </w:rPr>
        <w:t xml:space="preserve"> σε μια εταιρεία στην οποία είχε ανατεθεί η χειρωνακτική συγκομιδή των σταφυλιών, με ψαλίδια χειρός, σε πλαστικά κιβώτια.</w:t>
      </w:r>
    </w:p>
    <w:p w14:paraId="7327AFCA" w14:textId="28893207" w:rsidR="00BB66F8" w:rsidRPr="00D60C2D" w:rsidRDefault="00BB66F8" w:rsidP="009B1FEB">
      <w:pPr>
        <w:pStyle w:val="ListParagraph"/>
        <w:numPr>
          <w:ilvl w:val="0"/>
          <w:numId w:val="12"/>
        </w:numPr>
        <w:spacing w:after="0" w:line="240" w:lineRule="auto"/>
        <w:jc w:val="both"/>
        <w:rPr>
          <w:sz w:val="20"/>
        </w:rPr>
      </w:pPr>
      <w:r w:rsidRPr="00D60C2D">
        <w:rPr>
          <w:sz w:val="20"/>
        </w:rPr>
        <w:t>Για να καταστεί η συγκομιδή επικερδής, υπήρχαν κιβώτια</w:t>
      </w:r>
      <w:r w:rsidR="000D6272" w:rsidRPr="00D60C2D">
        <w:rPr>
          <w:sz w:val="20"/>
        </w:rPr>
        <w:t>,</w:t>
      </w:r>
      <w:r w:rsidRPr="00D60C2D">
        <w:rPr>
          <w:sz w:val="20"/>
        </w:rPr>
        <w:t xml:space="preserve"> τα οποία είχαν κατανεμηθεί προηγουμένως στην περιοχή μεταξύ των σειρών των κλημάτων.</w:t>
      </w:r>
    </w:p>
    <w:p w14:paraId="548FBF1C" w14:textId="77777777" w:rsidR="00BB66F8" w:rsidRPr="00D60C2D" w:rsidRDefault="00BB66F8" w:rsidP="009B1FEB">
      <w:pPr>
        <w:pStyle w:val="ListParagraph"/>
        <w:numPr>
          <w:ilvl w:val="0"/>
          <w:numId w:val="12"/>
        </w:numPr>
        <w:spacing w:after="0" w:line="240" w:lineRule="auto"/>
        <w:jc w:val="both"/>
        <w:rPr>
          <w:sz w:val="20"/>
        </w:rPr>
      </w:pPr>
      <w:r w:rsidRPr="00D60C2D">
        <w:rPr>
          <w:sz w:val="20"/>
        </w:rPr>
        <w:t>Αφού γέμισε ένα από τα κιβώτια, ο εργαζόμενος μετακινήθηκε για να πάρει ένα κενό κιβώτιο. Κατά τη μετακίνησή του, παραπάτησε λόγω μιας ανωμαλίας στο έδαφος, που είχε προκληθεί από την προηγούμενη διέλευση του τροχού του ελκυστήρα, και την οποία απέκρυπταν τα ζιζάνια μεταξύ των σειρών.</w:t>
      </w:r>
    </w:p>
    <w:p w14:paraId="29A37036" w14:textId="7EA415D1" w:rsidR="00BB66F8" w:rsidRPr="00CC6607" w:rsidRDefault="00BB66F8" w:rsidP="00195BC6">
      <w:pPr>
        <w:pStyle w:val="ListParagraph"/>
        <w:numPr>
          <w:ilvl w:val="0"/>
          <w:numId w:val="12"/>
        </w:numPr>
        <w:spacing w:after="0" w:line="240" w:lineRule="auto"/>
        <w:jc w:val="both"/>
        <w:rPr>
          <w:sz w:val="20"/>
        </w:rPr>
      </w:pPr>
      <w:r w:rsidRPr="00D60C2D">
        <w:rPr>
          <w:sz w:val="20"/>
        </w:rPr>
        <w:t xml:space="preserve">Αφού σκόνταψε στο έδαφος, ο εργαζόμενος έχασε την ισορροπία του και έπεσε, χτύπησε την </w:t>
      </w:r>
      <w:r w:rsidR="00EE79BD" w:rsidRPr="00D60C2D">
        <w:rPr>
          <w:sz w:val="20"/>
        </w:rPr>
        <w:t>οσφυϊκή</w:t>
      </w:r>
      <w:r w:rsidRPr="00D60C2D">
        <w:rPr>
          <w:sz w:val="20"/>
        </w:rPr>
        <w:t xml:space="preserve"> χώρα του στο κενό κιβώτιο και υπέστη κάταγμα στον</w:t>
      </w:r>
      <w:r>
        <w:rPr>
          <w:sz w:val="20"/>
        </w:rPr>
        <w:t xml:space="preserve"> δεξιό του βραχίονα.</w:t>
      </w:r>
    </w:p>
    <w:p w14:paraId="7E1495B0" w14:textId="77777777" w:rsidR="00BB66F8" w:rsidRPr="00CC6607" w:rsidRDefault="00BB66F8" w:rsidP="00195BC6">
      <w:pPr>
        <w:spacing w:after="0" w:line="240" w:lineRule="auto"/>
        <w:jc w:val="both"/>
        <w:rPr>
          <w:b/>
          <w:color w:val="4472C4" w:themeColor="accent5"/>
          <w:sz w:val="14"/>
        </w:rPr>
      </w:pPr>
    </w:p>
    <w:p w14:paraId="76BF8B7A" w14:textId="77777777" w:rsidR="008D5FE3" w:rsidRPr="004A6231" w:rsidRDefault="008D5FE3" w:rsidP="00195BC6">
      <w:pPr>
        <w:spacing w:after="0" w:line="240" w:lineRule="auto"/>
        <w:jc w:val="both"/>
        <w:rPr>
          <w:b/>
          <w:color w:val="4472C4" w:themeColor="accent5"/>
          <w:sz w:val="20"/>
        </w:rPr>
      </w:pPr>
      <w:r>
        <w:rPr>
          <w:b/>
          <w:color w:val="4472C4" w:themeColor="accent5"/>
          <w:sz w:val="20"/>
        </w:rPr>
        <w:t>Κατά τη διερεύνηση του ατυχήματος διαπιστώθηκε ότι:</w:t>
      </w:r>
    </w:p>
    <w:p w14:paraId="2D56C1FB" w14:textId="77777777" w:rsidR="00195BC6" w:rsidRPr="0090026C" w:rsidRDefault="00195BC6" w:rsidP="00195BC6">
      <w:pPr>
        <w:spacing w:after="0" w:line="240" w:lineRule="auto"/>
        <w:jc w:val="both"/>
        <w:rPr>
          <w:sz w:val="12"/>
        </w:rPr>
      </w:pPr>
    </w:p>
    <w:p w14:paraId="745C7AFE" w14:textId="77777777" w:rsidR="009B1FEB" w:rsidRPr="0031049B" w:rsidRDefault="009B1FEB" w:rsidP="0031049B">
      <w:pPr>
        <w:pStyle w:val="ListParagraph"/>
        <w:numPr>
          <w:ilvl w:val="0"/>
          <w:numId w:val="13"/>
        </w:numPr>
        <w:spacing w:after="0" w:line="240" w:lineRule="auto"/>
        <w:jc w:val="both"/>
        <w:rPr>
          <w:sz w:val="20"/>
        </w:rPr>
      </w:pPr>
      <w:r>
        <w:rPr>
          <w:sz w:val="20"/>
        </w:rPr>
        <w:t xml:space="preserve">Ο χώρος εργασίας είχε μάλλον ανώμαλο έδαφος, διότι κατά τη διάρκεια προηγούμενων εργασιών, δηλαδή κατά τις </w:t>
      </w:r>
      <w:proofErr w:type="spellStart"/>
      <w:r>
        <w:rPr>
          <w:sz w:val="20"/>
        </w:rPr>
        <w:t>φυτοϋγειονομικές</w:t>
      </w:r>
      <w:proofErr w:type="spellEnd"/>
      <w:r>
        <w:rPr>
          <w:sz w:val="20"/>
        </w:rPr>
        <w:t xml:space="preserve"> αγωγές που πραγματοποιήθηκαν όταν το έδαφος ήταν υγρό, είχε διέλθει ο ελκυστήρας από την περιοχή αυτή.</w:t>
      </w:r>
    </w:p>
    <w:p w14:paraId="1AE7670D" w14:textId="62FCD636" w:rsidR="009B1FEB" w:rsidRPr="0031049B" w:rsidRDefault="009B1FEB" w:rsidP="0031049B">
      <w:pPr>
        <w:pStyle w:val="ListParagraph"/>
        <w:numPr>
          <w:ilvl w:val="0"/>
          <w:numId w:val="13"/>
        </w:numPr>
        <w:spacing w:after="0" w:line="240" w:lineRule="auto"/>
        <w:jc w:val="both"/>
        <w:rPr>
          <w:sz w:val="20"/>
        </w:rPr>
      </w:pPr>
      <w:r>
        <w:rPr>
          <w:sz w:val="20"/>
        </w:rPr>
        <w:t>Η παρουσία ζιζανίων ύψους περίπου 30cm απέκρυπτε τις ανωμαλίες του εδάφους.</w:t>
      </w:r>
    </w:p>
    <w:p w14:paraId="3A690C1B" w14:textId="77777777" w:rsidR="009B1FEB" w:rsidRPr="0031049B" w:rsidRDefault="009B1FEB" w:rsidP="0031049B">
      <w:pPr>
        <w:pStyle w:val="ListParagraph"/>
        <w:numPr>
          <w:ilvl w:val="0"/>
          <w:numId w:val="13"/>
        </w:numPr>
        <w:spacing w:after="0" w:line="240" w:lineRule="auto"/>
        <w:jc w:val="both"/>
        <w:rPr>
          <w:sz w:val="20"/>
        </w:rPr>
      </w:pPr>
      <w:r>
        <w:rPr>
          <w:sz w:val="20"/>
        </w:rPr>
        <w:t>Τα πλαστικά κιβώτια ήταν διασκορπισμένα στην περιοχή μεταξύ των σειρών και όχι τακτικά κατανεμημένα.</w:t>
      </w:r>
    </w:p>
    <w:p w14:paraId="6B022BFE" w14:textId="77777777" w:rsidR="000E1185" w:rsidRPr="0031049B" w:rsidRDefault="0031049B" w:rsidP="0031049B">
      <w:pPr>
        <w:pStyle w:val="ListParagraph"/>
        <w:numPr>
          <w:ilvl w:val="0"/>
          <w:numId w:val="13"/>
        </w:numPr>
        <w:spacing w:after="0" w:line="240" w:lineRule="auto"/>
        <w:jc w:val="both"/>
        <w:rPr>
          <w:sz w:val="20"/>
        </w:rPr>
      </w:pPr>
      <w:r>
        <w:rPr>
          <w:sz w:val="20"/>
        </w:rPr>
        <w:t>Ο εργαζόμενος φορούσε κατάλληλα υποδήματα ασφαλείας.</w:t>
      </w:r>
    </w:p>
    <w:p w14:paraId="4D5E945A" w14:textId="77777777" w:rsidR="009B1FEB" w:rsidRPr="00CC6607" w:rsidRDefault="009B1FEB" w:rsidP="00195BC6">
      <w:pPr>
        <w:spacing w:after="0" w:line="240" w:lineRule="auto"/>
        <w:jc w:val="both"/>
        <w:rPr>
          <w:sz w:val="14"/>
        </w:rPr>
      </w:pPr>
    </w:p>
    <w:p w14:paraId="406E1BE2" w14:textId="77777777" w:rsidR="00CB5C5D" w:rsidRPr="004A6231" w:rsidRDefault="00CB5C5D" w:rsidP="00195BC6">
      <w:pPr>
        <w:spacing w:after="0" w:line="240" w:lineRule="auto"/>
        <w:jc w:val="both"/>
        <w:rPr>
          <w:b/>
          <w:color w:val="4472C4" w:themeColor="accent5"/>
          <w:sz w:val="20"/>
        </w:rPr>
      </w:pPr>
      <w:r>
        <w:rPr>
          <w:b/>
          <w:color w:val="4472C4" w:themeColor="accent5"/>
          <w:sz w:val="20"/>
        </w:rPr>
        <w:t>Τι προκάλεσε το ατύχημα;</w:t>
      </w:r>
    </w:p>
    <w:p w14:paraId="5B30891D" w14:textId="77777777" w:rsidR="00195BC6" w:rsidRPr="0090026C" w:rsidRDefault="00195BC6" w:rsidP="00195BC6">
      <w:pPr>
        <w:spacing w:after="0" w:line="240" w:lineRule="auto"/>
        <w:jc w:val="both"/>
        <w:rPr>
          <w:sz w:val="10"/>
        </w:rPr>
      </w:pPr>
    </w:p>
    <w:p w14:paraId="7008F978" w14:textId="77777777" w:rsidR="0031049B" w:rsidRPr="0031049B" w:rsidRDefault="0031049B" w:rsidP="0031049B">
      <w:pPr>
        <w:pStyle w:val="ListParagraph"/>
        <w:numPr>
          <w:ilvl w:val="0"/>
          <w:numId w:val="14"/>
        </w:numPr>
        <w:spacing w:after="0" w:line="240" w:lineRule="auto"/>
        <w:jc w:val="both"/>
        <w:rPr>
          <w:sz w:val="20"/>
        </w:rPr>
      </w:pPr>
      <w:r>
        <w:rPr>
          <w:sz w:val="20"/>
        </w:rPr>
        <w:t>Γενική και ανεπαρκής εκτίμηση των κινδύνων, η οποία εξέτασε μόνο τον κίνδυνο εμφάνισης μυοσκελετικών παθήσεων που συνδέονται με εσφαλμένες στάσεις του σώματος κατά τη συγκομιδή.</w:t>
      </w:r>
    </w:p>
    <w:p w14:paraId="23576BEE" w14:textId="77777777" w:rsidR="0031049B" w:rsidRPr="0031049B" w:rsidRDefault="0031049B" w:rsidP="0031049B">
      <w:pPr>
        <w:pStyle w:val="ListParagraph"/>
        <w:numPr>
          <w:ilvl w:val="0"/>
          <w:numId w:val="14"/>
        </w:numPr>
        <w:spacing w:after="0" w:line="240" w:lineRule="auto"/>
        <w:jc w:val="both"/>
        <w:rPr>
          <w:sz w:val="20"/>
        </w:rPr>
      </w:pPr>
      <w:r>
        <w:rPr>
          <w:sz w:val="20"/>
        </w:rPr>
        <w:t>Έλλειψη ενημέρωσης/κατάρτισης των εργαζομένων σχετικά με τους κινδύνους και τα μέτρα προστασίας και πρόληψης.</w:t>
      </w:r>
    </w:p>
    <w:p w14:paraId="6BD43C56" w14:textId="77777777" w:rsidR="0031049B" w:rsidRPr="0031049B" w:rsidRDefault="0031049B" w:rsidP="0031049B">
      <w:pPr>
        <w:pStyle w:val="ListParagraph"/>
        <w:numPr>
          <w:ilvl w:val="0"/>
          <w:numId w:val="14"/>
        </w:numPr>
        <w:spacing w:after="0" w:line="240" w:lineRule="auto"/>
        <w:jc w:val="both"/>
        <w:rPr>
          <w:sz w:val="20"/>
        </w:rPr>
      </w:pPr>
      <w:r>
        <w:rPr>
          <w:sz w:val="20"/>
        </w:rPr>
        <w:t>Απουσία μέτρων για τον καθαρισμό των ζιζανίων και τη συντήρηση της φυτικής κάλυψης, καθώς και κακή οργάνωση της περιοχής συγκομιδής των σταφυλιών.</w:t>
      </w:r>
    </w:p>
    <w:p w14:paraId="481B95E5" w14:textId="77777777" w:rsidR="00820CF9" w:rsidRPr="00CC6607" w:rsidRDefault="00820CF9" w:rsidP="00195BC6">
      <w:pPr>
        <w:spacing w:after="0" w:line="240" w:lineRule="auto"/>
        <w:jc w:val="both"/>
        <w:rPr>
          <w:b/>
          <w:color w:val="4472C4" w:themeColor="accent5"/>
          <w:sz w:val="14"/>
        </w:rPr>
      </w:pPr>
    </w:p>
    <w:p w14:paraId="65524655" w14:textId="77777777" w:rsidR="00CB5C5D" w:rsidRPr="004A6231" w:rsidRDefault="00CB5C5D" w:rsidP="00195BC6">
      <w:pPr>
        <w:spacing w:after="0" w:line="240" w:lineRule="auto"/>
        <w:jc w:val="both"/>
        <w:rPr>
          <w:b/>
          <w:color w:val="4472C4" w:themeColor="accent5"/>
          <w:sz w:val="20"/>
        </w:rPr>
      </w:pPr>
      <w:r>
        <w:rPr>
          <w:b/>
          <w:color w:val="4472C4" w:themeColor="accent5"/>
          <w:sz w:val="20"/>
        </w:rPr>
        <w:t>Μέτρα προστασίας και πρόληψης</w:t>
      </w:r>
    </w:p>
    <w:p w14:paraId="20612A69" w14:textId="77777777" w:rsidR="00195BC6" w:rsidRPr="00060034" w:rsidRDefault="00195BC6" w:rsidP="00195BC6">
      <w:pPr>
        <w:spacing w:after="0" w:line="240" w:lineRule="auto"/>
        <w:jc w:val="both"/>
        <w:rPr>
          <w:sz w:val="12"/>
        </w:rPr>
      </w:pPr>
    </w:p>
    <w:p w14:paraId="4AA4B777" w14:textId="77777777" w:rsidR="007204A3" w:rsidRPr="007204A3" w:rsidRDefault="007204A3" w:rsidP="007204A3">
      <w:pPr>
        <w:spacing w:after="0" w:line="240" w:lineRule="auto"/>
        <w:jc w:val="both"/>
        <w:rPr>
          <w:sz w:val="20"/>
        </w:rPr>
      </w:pPr>
      <w:r>
        <w:rPr>
          <w:sz w:val="20"/>
        </w:rPr>
        <w:t xml:space="preserve">Απομάκρυνση των ζιζανίων και συντήρηση στην περιοχή μεταξύ των σειρών όπου πραγματοποιείται η χειρωνακτική συγκομιδή, και συγκεκριμένα με τη χρήση ελκυστήρα με μηχανικό </w:t>
      </w:r>
      <w:proofErr w:type="spellStart"/>
      <w:r>
        <w:rPr>
          <w:sz w:val="20"/>
        </w:rPr>
        <w:t>θρυμματιστή</w:t>
      </w:r>
      <w:proofErr w:type="spellEnd"/>
      <w:r>
        <w:rPr>
          <w:sz w:val="20"/>
        </w:rPr>
        <w:t xml:space="preserve"> ή με εξοπλισμό χημικής καταπολέμησης, κάτι που θα διευκολύνει την εξάλειψη των ανωμαλιών του εδάφους και τη μείωση του κινδύνου πτώσης στο ίδιο επίπεδο.</w:t>
      </w:r>
    </w:p>
    <w:p w14:paraId="2C1F2859" w14:textId="77777777" w:rsidR="00106078" w:rsidRPr="0090026C" w:rsidRDefault="00106078" w:rsidP="007204A3">
      <w:pPr>
        <w:spacing w:after="0" w:line="240" w:lineRule="auto"/>
        <w:jc w:val="both"/>
        <w:rPr>
          <w:sz w:val="16"/>
        </w:rPr>
      </w:pPr>
    </w:p>
    <w:p w14:paraId="425BA930" w14:textId="77777777" w:rsidR="007204A3" w:rsidRPr="007204A3" w:rsidRDefault="007204A3" w:rsidP="007204A3">
      <w:pPr>
        <w:spacing w:after="0" w:line="240" w:lineRule="auto"/>
        <w:jc w:val="both"/>
        <w:rPr>
          <w:sz w:val="20"/>
        </w:rPr>
      </w:pPr>
      <w:r>
        <w:rPr>
          <w:sz w:val="20"/>
        </w:rPr>
        <w:t>Ενσωμάτωση των ζιζανίων στο έδαφος σε κατάλληλη από τεχνική άποψη στιγμή, και συγκεκριμένα με τη χρήση ελκυστήρα με εξοπλισμό που ενσωματώνει τα ζιζάνια στο έδαφος και μειώνει τις υφιστάμενες ανωμαλίες του εδάφους.</w:t>
      </w:r>
    </w:p>
    <w:p w14:paraId="51765B85" w14:textId="77777777" w:rsidR="00106078" w:rsidRPr="0090026C" w:rsidRDefault="00106078" w:rsidP="007204A3">
      <w:pPr>
        <w:spacing w:after="0" w:line="240" w:lineRule="auto"/>
        <w:jc w:val="both"/>
        <w:rPr>
          <w:sz w:val="16"/>
        </w:rPr>
      </w:pPr>
    </w:p>
    <w:p w14:paraId="44A1E94A" w14:textId="77777777" w:rsidR="007204A3" w:rsidRDefault="007204A3" w:rsidP="007204A3">
      <w:pPr>
        <w:spacing w:after="0" w:line="240" w:lineRule="auto"/>
        <w:jc w:val="both"/>
        <w:rPr>
          <w:sz w:val="20"/>
        </w:rPr>
      </w:pPr>
      <w:r>
        <w:rPr>
          <w:sz w:val="20"/>
        </w:rPr>
        <w:t>Ειδική κατάρτιση/ενημέρωση των εργαζομένων σχετικά με τους κινδύνους που συνδέονται με τις ολισθήσεις, τα παραπατήματα και τις πτώσεις στο ίδιο επίπεδο.</w:t>
      </w:r>
    </w:p>
    <w:p w14:paraId="127F8BE9" w14:textId="77777777" w:rsidR="00106078" w:rsidRPr="0090026C" w:rsidRDefault="00106078" w:rsidP="007204A3">
      <w:pPr>
        <w:spacing w:after="0" w:line="240" w:lineRule="auto"/>
        <w:jc w:val="both"/>
        <w:rPr>
          <w:sz w:val="16"/>
        </w:rPr>
      </w:pPr>
    </w:p>
    <w:p w14:paraId="42271CD2" w14:textId="77777777" w:rsidR="007204A3" w:rsidRDefault="002D5700" w:rsidP="007204A3">
      <w:pPr>
        <w:spacing w:after="0" w:line="240" w:lineRule="auto"/>
        <w:jc w:val="both"/>
        <w:rPr>
          <w:sz w:val="20"/>
        </w:rPr>
      </w:pPr>
      <w:r>
        <w:rPr>
          <w:sz w:val="20"/>
        </w:rPr>
        <w:t>Οργάνωση και αποθήκευση των κενών κιβωτίων, ώστε να είναι όσο το δυνατόν πλησιέστερα στη σειρά των στελεχών και να μην είναι ακανόνιστα κατανεμημένα στην περιοχή μεταξύ των σειρών.</w:t>
      </w:r>
    </w:p>
    <w:p w14:paraId="71898073" w14:textId="77777777" w:rsidR="00CC6607" w:rsidRPr="0090026C" w:rsidRDefault="00CC6607" w:rsidP="007204A3">
      <w:pPr>
        <w:spacing w:after="0" w:line="240" w:lineRule="auto"/>
        <w:jc w:val="both"/>
        <w:rPr>
          <w:sz w:val="16"/>
        </w:rPr>
      </w:pPr>
    </w:p>
    <w:p w14:paraId="23981E61" w14:textId="77777777" w:rsidR="00D60C2D" w:rsidRDefault="00D60C2D" w:rsidP="007204A3">
      <w:pPr>
        <w:spacing w:after="0" w:line="240" w:lineRule="auto"/>
        <w:jc w:val="both"/>
        <w:rPr>
          <w:sz w:val="20"/>
        </w:rPr>
      </w:pPr>
    </w:p>
    <w:p w14:paraId="4311A5A7" w14:textId="42AE7A24" w:rsidR="00CC6607" w:rsidRDefault="00CC6607" w:rsidP="007204A3">
      <w:pPr>
        <w:spacing w:after="0" w:line="240" w:lineRule="auto"/>
        <w:jc w:val="both"/>
        <w:rPr>
          <w:b/>
          <w:sz w:val="20"/>
          <w:u w:val="single"/>
        </w:rPr>
      </w:pPr>
      <w:r w:rsidRPr="00D60C2D">
        <w:rPr>
          <w:b/>
          <w:sz w:val="20"/>
          <w:u w:val="single"/>
        </w:rPr>
        <w:t xml:space="preserve">Για περισσότερες πληροφορίες: </w:t>
      </w:r>
    </w:p>
    <w:p w14:paraId="3A9086E1" w14:textId="77777777" w:rsidR="00D60C2D" w:rsidRPr="00D60C2D" w:rsidRDefault="00D60C2D" w:rsidP="007204A3">
      <w:pPr>
        <w:spacing w:after="0" w:line="240" w:lineRule="auto"/>
        <w:jc w:val="both"/>
        <w:rPr>
          <w:b/>
          <w:sz w:val="20"/>
          <w:u w:val="single"/>
        </w:rPr>
      </w:pPr>
      <w:bookmarkStart w:id="0" w:name="_GoBack"/>
      <w:bookmarkEnd w:id="0"/>
    </w:p>
    <w:p w14:paraId="170CC479" w14:textId="77777777" w:rsidR="00CC6607" w:rsidRPr="0090026C" w:rsidRDefault="00D60C2D" w:rsidP="007204A3">
      <w:pPr>
        <w:spacing w:after="0" w:line="240" w:lineRule="auto"/>
        <w:jc w:val="both"/>
        <w:rPr>
          <w:sz w:val="18"/>
        </w:rPr>
      </w:pPr>
      <w:hyperlink r:id="rId7" w:history="1">
        <w:r w:rsidR="002D67F9">
          <w:rPr>
            <w:rStyle w:val="Hyperlink"/>
            <w:sz w:val="18"/>
          </w:rPr>
          <w:t>https://www.hsa.ie/eng/Publications_and_Forms/Publications/Information_Sheets/Preventing_Slips_Trips_and_Falls_at_Work_2017.pdf</w:t>
        </w:r>
      </w:hyperlink>
    </w:p>
    <w:p w14:paraId="5FDA1066" w14:textId="77777777" w:rsidR="0090026C" w:rsidRPr="0090026C" w:rsidRDefault="0090026C" w:rsidP="007204A3">
      <w:pPr>
        <w:spacing w:after="0" w:line="240" w:lineRule="auto"/>
        <w:jc w:val="both"/>
        <w:rPr>
          <w:sz w:val="18"/>
        </w:rPr>
      </w:pPr>
    </w:p>
    <w:p w14:paraId="4BB40CF8" w14:textId="77777777" w:rsidR="0090026C" w:rsidRPr="0090026C" w:rsidRDefault="00D60C2D" w:rsidP="007204A3">
      <w:pPr>
        <w:spacing w:after="0" w:line="240" w:lineRule="auto"/>
        <w:jc w:val="both"/>
        <w:rPr>
          <w:sz w:val="18"/>
        </w:rPr>
      </w:pPr>
      <w:hyperlink r:id="rId8" w:history="1">
        <w:proofErr w:type="spellStart"/>
        <w:r w:rsidR="002D67F9">
          <w:rPr>
            <w:rStyle w:val="Hyperlink"/>
            <w:sz w:val="18"/>
          </w:rPr>
          <w:t>Factsheet</w:t>
        </w:r>
        <w:proofErr w:type="spellEnd"/>
        <w:r w:rsidR="002D67F9">
          <w:rPr>
            <w:rStyle w:val="Hyperlink"/>
            <w:sz w:val="18"/>
          </w:rPr>
          <w:t xml:space="preserve"> 14 — Η πρόληψη στον χώρο εργασίας όσον αφορά τα ολισθήματα και τα παραπατήματα |</w:t>
        </w:r>
      </w:hyperlink>
      <w:hyperlink r:id="rId9" w:history="1">
        <w:r w:rsidR="002D67F9">
          <w:rPr>
            <w:rStyle w:val="Hyperlink"/>
            <w:sz w:val="18"/>
          </w:rPr>
          <w:t xml:space="preserve"> Ασφάλεια και υγεία στην εργασία, EU-OSHA (europa.eu).</w:t>
        </w:r>
      </w:hyperlink>
    </w:p>
    <w:sectPr w:rsidR="0090026C" w:rsidRPr="0090026C" w:rsidSect="00AB4435">
      <w:headerReference w:type="default" r:id="rId10"/>
      <w:footerReference w:type="default" r:id="rId11"/>
      <w:pgSz w:w="11906" w:h="16838"/>
      <w:pgMar w:top="1221"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7A67" w14:textId="77777777" w:rsidR="00192E88" w:rsidRDefault="00192E88" w:rsidP="008D5FE3">
      <w:pPr>
        <w:spacing w:after="0" w:line="240" w:lineRule="auto"/>
      </w:pPr>
      <w:r>
        <w:separator/>
      </w:r>
    </w:p>
  </w:endnote>
  <w:endnote w:type="continuationSeparator" w:id="0">
    <w:p w14:paraId="0F2AF310" w14:textId="77777777" w:rsidR="00192E88" w:rsidRDefault="00192E88" w:rsidP="008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F2AB" w14:textId="77777777" w:rsidR="00951AE8" w:rsidRDefault="00951AE8" w:rsidP="00951AE8">
    <w:pPr>
      <w:pStyle w:val="Header"/>
      <w:rPr>
        <w:sz w:val="16"/>
      </w:rPr>
    </w:pPr>
    <w:r>
      <w:rPr>
        <w:noProof/>
      </w:rPr>
      <w:drawing>
        <wp:inline distT="0" distB="0" distL="0" distR="0" wp14:anchorId="63919DD1" wp14:editId="6460489E">
          <wp:extent cx="1043788" cy="634790"/>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5CC943E4" w14:textId="77777777" w:rsidR="00951AE8" w:rsidRDefault="00951AE8" w:rsidP="00951AE8">
    <w:pPr>
      <w:pStyle w:val="Header"/>
      <w:jc w:val="right"/>
      <w:rPr>
        <w:sz w:val="16"/>
      </w:rPr>
    </w:pPr>
  </w:p>
  <w:p w14:paraId="0EC17417" w14:textId="386BBC91" w:rsidR="00951AE8" w:rsidRPr="00951AE8" w:rsidRDefault="00951AE8" w:rsidP="00951AE8">
    <w:pPr>
      <w:pStyle w:val="Header"/>
    </w:pPr>
    <w:r>
      <w:rPr>
        <w:sz w:val="16"/>
      </w:rPr>
      <w:t>Ατυχήματα: Σταματήστε τα πριν σας σταματήσουν!</w:t>
    </w:r>
  </w:p>
  <w:p w14:paraId="4BA0B5BE" w14:textId="3A5C6DA4" w:rsidR="00060034" w:rsidRPr="00951AE8" w:rsidRDefault="00951AE8" w:rsidP="00951AE8">
    <w:pPr>
      <w:pStyle w:val="Footer"/>
      <w:jc w:val="right"/>
      <w:rPr>
        <w:sz w:val="16"/>
        <w:szCs w:val="16"/>
      </w:rPr>
    </w:pPr>
    <w:r w:rsidRPr="00951AE8">
      <w:rPr>
        <w:sz w:val="16"/>
        <w:szCs w:val="16"/>
        <w:lang w:val="en-US"/>
      </w:rPr>
      <w:t>-</w:t>
    </w:r>
    <w:sdt>
      <w:sdtPr>
        <w:rPr>
          <w:sz w:val="16"/>
          <w:szCs w:val="16"/>
        </w:rPr>
        <w:id w:val="-923256738"/>
        <w:docPartObj>
          <w:docPartGallery w:val="Page Numbers (Bottom of Page)"/>
          <w:docPartUnique/>
        </w:docPartObj>
      </w:sdtPr>
      <w:sdtEndPr>
        <w:rPr>
          <w:noProof/>
        </w:rPr>
      </w:sdtEndPr>
      <w:sdtContent>
        <w:r w:rsidRPr="00951AE8">
          <w:rPr>
            <w:sz w:val="16"/>
            <w:szCs w:val="16"/>
          </w:rPr>
          <w:fldChar w:fldCharType="begin"/>
        </w:r>
        <w:r w:rsidRPr="00951AE8">
          <w:rPr>
            <w:sz w:val="16"/>
            <w:szCs w:val="16"/>
          </w:rPr>
          <w:instrText xml:space="preserve"> PAGE   \* MERGEFORMAT </w:instrText>
        </w:r>
        <w:r w:rsidRPr="00951AE8">
          <w:rPr>
            <w:sz w:val="16"/>
            <w:szCs w:val="16"/>
          </w:rPr>
          <w:fldChar w:fldCharType="separate"/>
        </w:r>
        <w:r w:rsidR="00D60C2D">
          <w:rPr>
            <w:noProof/>
            <w:sz w:val="16"/>
            <w:szCs w:val="16"/>
          </w:rPr>
          <w:t>3</w:t>
        </w:r>
        <w:r w:rsidRPr="00951AE8">
          <w:rPr>
            <w:noProof/>
            <w:sz w:val="16"/>
            <w:szCs w:val="16"/>
          </w:rPr>
          <w:fldChar w:fldCharType="end"/>
        </w:r>
        <w:r w:rsidRPr="00951AE8">
          <w:rPr>
            <w:noProof/>
            <w:sz w:val="16"/>
            <w:szCs w:val="16"/>
            <w:lang w:val="en-US"/>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5864" w14:textId="77777777" w:rsidR="00192E88" w:rsidRDefault="00192E88" w:rsidP="008D5FE3">
      <w:pPr>
        <w:spacing w:after="0" w:line="240" w:lineRule="auto"/>
      </w:pPr>
      <w:r>
        <w:separator/>
      </w:r>
    </w:p>
  </w:footnote>
  <w:footnote w:type="continuationSeparator" w:id="0">
    <w:p w14:paraId="0C6A8636" w14:textId="77777777" w:rsidR="00192E88" w:rsidRDefault="00192E88" w:rsidP="008D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47E6" w14:textId="64518277" w:rsidR="00060034" w:rsidRDefault="003D4629" w:rsidP="00B21BEF">
    <w:pPr>
      <w:pStyle w:val="Header"/>
      <w:jc w:val="right"/>
      <w:rPr>
        <w:b/>
        <w:sz w:val="18"/>
      </w:rPr>
    </w:pPr>
    <w:r>
      <w:rPr>
        <w:noProof/>
      </w:rPr>
      <w:drawing>
        <wp:inline distT="0" distB="0" distL="0" distR="0" wp14:anchorId="727EF25E" wp14:editId="72EF6062">
          <wp:extent cx="853609" cy="873694"/>
          <wp:effectExtent l="0" t="0" r="3810" b="3175"/>
          <wp:docPr id="2" name="Picture 2"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179" cy="886559"/>
                  </a:xfrm>
                  <a:prstGeom prst="rect">
                    <a:avLst/>
                  </a:prstGeom>
                </pic:spPr>
              </pic:pic>
            </a:graphicData>
          </a:graphic>
        </wp:inline>
      </w:drawing>
    </w:r>
    <w:r w:rsidR="00060034">
      <w:t xml:space="preserve">  </w:t>
    </w:r>
  </w:p>
  <w:p w14:paraId="6AC127DB" w14:textId="77777777" w:rsidR="008D5FE3" w:rsidRPr="00060034" w:rsidRDefault="004A6231" w:rsidP="00B21BEF">
    <w:pPr>
      <w:pStyle w:val="Header"/>
      <w:jc w:val="right"/>
    </w:pPr>
    <w:r>
      <w:rPr>
        <w:b/>
        <w:sz w:val="18"/>
      </w:rPr>
      <w:t>Εκστρατεία της SLIC 2024 — Εργατικά ατυχήματα</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E81"/>
    <w:multiLevelType w:val="hybridMultilevel"/>
    <w:tmpl w:val="8CCAB414"/>
    <w:lvl w:ilvl="0" w:tplc="9AAEA858">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9A80786"/>
    <w:multiLevelType w:val="hybridMultilevel"/>
    <w:tmpl w:val="B414173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D094562"/>
    <w:multiLevelType w:val="hybridMultilevel"/>
    <w:tmpl w:val="008C3D0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85C1857"/>
    <w:multiLevelType w:val="hybridMultilevel"/>
    <w:tmpl w:val="A350BAAC"/>
    <w:lvl w:ilvl="0" w:tplc="9AAEA858">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8396439"/>
    <w:multiLevelType w:val="hybridMultilevel"/>
    <w:tmpl w:val="6924F72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1"/>
  </w:num>
  <w:num w:numId="6">
    <w:abstractNumId w:val="2"/>
  </w:num>
  <w:num w:numId="7">
    <w:abstractNumId w:val="11"/>
  </w:num>
  <w:num w:numId="8">
    <w:abstractNumId w:val="7"/>
  </w:num>
  <w:num w:numId="9">
    <w:abstractNumId w:val="8"/>
  </w:num>
  <w:num w:numId="10">
    <w:abstractNumId w:val="10"/>
  </w:num>
  <w:num w:numId="11">
    <w:abstractNumId w:val="0"/>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37C84"/>
    <w:rsid w:val="00060034"/>
    <w:rsid w:val="000D6272"/>
    <w:rsid w:val="000E1185"/>
    <w:rsid w:val="00106078"/>
    <w:rsid w:val="00192E88"/>
    <w:rsid w:val="00195BC6"/>
    <w:rsid w:val="001F4BD9"/>
    <w:rsid w:val="002313FA"/>
    <w:rsid w:val="00285CF9"/>
    <w:rsid w:val="002D5700"/>
    <w:rsid w:val="002D67F9"/>
    <w:rsid w:val="002E0DEE"/>
    <w:rsid w:val="002E7FD2"/>
    <w:rsid w:val="0031049B"/>
    <w:rsid w:val="003873DC"/>
    <w:rsid w:val="003D4629"/>
    <w:rsid w:val="004A6231"/>
    <w:rsid w:val="004B7A4B"/>
    <w:rsid w:val="006216E3"/>
    <w:rsid w:val="006D65D9"/>
    <w:rsid w:val="00715A5B"/>
    <w:rsid w:val="007204A3"/>
    <w:rsid w:val="00742E1D"/>
    <w:rsid w:val="00820CF9"/>
    <w:rsid w:val="008254EF"/>
    <w:rsid w:val="008D5FE3"/>
    <w:rsid w:val="0090026C"/>
    <w:rsid w:val="009269B5"/>
    <w:rsid w:val="00951AE8"/>
    <w:rsid w:val="009B1FEB"/>
    <w:rsid w:val="009E6AA1"/>
    <w:rsid w:val="00A53223"/>
    <w:rsid w:val="00AB4435"/>
    <w:rsid w:val="00B21BEF"/>
    <w:rsid w:val="00B350D5"/>
    <w:rsid w:val="00BB66F8"/>
    <w:rsid w:val="00BD068E"/>
    <w:rsid w:val="00BF4E91"/>
    <w:rsid w:val="00C30F24"/>
    <w:rsid w:val="00C85B02"/>
    <w:rsid w:val="00CB5C5D"/>
    <w:rsid w:val="00CC6607"/>
    <w:rsid w:val="00CE7944"/>
    <w:rsid w:val="00D60C2D"/>
    <w:rsid w:val="00EE79BD"/>
    <w:rsid w:val="00F25F7A"/>
    <w:rsid w:val="00F60097"/>
    <w:rsid w:val="00FC10C5"/>
    <w:rsid w:val="00FF1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2C7BB"/>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character" w:styleId="Hyperlink">
    <w:name w:val="Hyperlink"/>
    <w:basedOn w:val="DefaultParagraphFont"/>
    <w:uiPriority w:val="99"/>
    <w:unhideWhenUsed/>
    <w:rsid w:val="00CC6607"/>
    <w:rPr>
      <w:color w:val="0563C1"/>
      <w:u w:val="single"/>
    </w:rPr>
  </w:style>
  <w:style w:type="character" w:styleId="FollowedHyperlink">
    <w:name w:val="FollowedHyperlink"/>
    <w:basedOn w:val="DefaultParagraphFont"/>
    <w:uiPriority w:val="99"/>
    <w:semiHidden/>
    <w:unhideWhenUsed/>
    <w:rsid w:val="00AB4435"/>
    <w:rPr>
      <w:color w:val="954F72" w:themeColor="followedHyperlink"/>
      <w:u w:val="single"/>
    </w:rPr>
  </w:style>
  <w:style w:type="paragraph" w:styleId="Revision">
    <w:name w:val="Revision"/>
    <w:hidden/>
    <w:uiPriority w:val="99"/>
    <w:semiHidden/>
    <w:rsid w:val="001F4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a.europa.eu/el/publications/factsheet-14-preventing-work-related-slips-trips-and-fa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a.ie/eng/Publications_and_Forms/Publications/Information_Sheets/Preventing_Slips_Trips_and_Falls_at_Work_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sha.europa.eu/el/publications/factsheet-14-preventing-work-related-slips-trips-and-fal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960</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XXXXXXX</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Kouyiali  Marina</cp:lastModifiedBy>
  <cp:revision>6</cp:revision>
  <dcterms:created xsi:type="dcterms:W3CDTF">2023-10-21T10:34:00Z</dcterms:created>
  <dcterms:modified xsi:type="dcterms:W3CDTF">2024-03-20T07:50:00Z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2023-07-31T08:14:32Z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36547f28-6256-4a36-ae83-f1aa2e9a1f23</vt:lpwstr>
  </property>
  <property fmtid="{D5CDD505-2E9C-101B-9397-08002B2CF9AE}" pid="8" name="MSIP_Label_6bd9ddd1-4d20-43f6-abfa-fc3c07406f94_ContentBits">
    <vt:lpwstr>0</vt:lpwstr>
  </property>
</Properties>
</file>